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AAF" w:rsidRPr="00D375B2" w:rsidRDefault="00994AAF">
      <w:pPr>
        <w:rPr>
          <w:sz w:val="28"/>
          <w:szCs w:val="28"/>
        </w:rPr>
      </w:pPr>
      <w:r w:rsidRPr="00D375B2">
        <w:rPr>
          <w:sz w:val="28"/>
          <w:szCs w:val="28"/>
        </w:rPr>
        <w:t>BY ELECTRONIC AND REGULAR MAIL</w:t>
      </w:r>
    </w:p>
    <w:p w:rsidR="00994AAF" w:rsidRPr="00D375B2" w:rsidRDefault="00994AAF">
      <w:pPr>
        <w:rPr>
          <w:sz w:val="28"/>
          <w:szCs w:val="28"/>
        </w:rPr>
      </w:pPr>
    </w:p>
    <w:p w:rsidR="00994AAF" w:rsidRPr="00D375B2" w:rsidRDefault="004061AD">
      <w:pPr>
        <w:rPr>
          <w:sz w:val="28"/>
          <w:szCs w:val="28"/>
        </w:rPr>
      </w:pPr>
      <w:r>
        <w:rPr>
          <w:sz w:val="28"/>
          <w:szCs w:val="28"/>
        </w:rPr>
        <w:t>February 1</w:t>
      </w:r>
      <w:r w:rsidR="00994AAF" w:rsidRPr="00D375B2">
        <w:rPr>
          <w:sz w:val="28"/>
          <w:szCs w:val="28"/>
        </w:rPr>
        <w:t>, 2015</w:t>
      </w:r>
    </w:p>
    <w:p w:rsidR="00994AAF" w:rsidRPr="00D375B2" w:rsidRDefault="00994AAF">
      <w:pPr>
        <w:rPr>
          <w:sz w:val="28"/>
          <w:szCs w:val="28"/>
        </w:rPr>
      </w:pPr>
    </w:p>
    <w:p w:rsidR="00994AAF" w:rsidRPr="00D375B2" w:rsidRDefault="00994AAF">
      <w:pPr>
        <w:rPr>
          <w:sz w:val="28"/>
          <w:szCs w:val="28"/>
        </w:rPr>
      </w:pPr>
      <w:r w:rsidRPr="00D375B2">
        <w:rPr>
          <w:sz w:val="28"/>
          <w:szCs w:val="28"/>
        </w:rPr>
        <w:t>Elizabeth Glazer</w:t>
      </w:r>
    </w:p>
    <w:p w:rsidR="00994AAF" w:rsidRPr="00D375B2" w:rsidRDefault="00994AAF">
      <w:pPr>
        <w:rPr>
          <w:sz w:val="28"/>
          <w:szCs w:val="28"/>
        </w:rPr>
      </w:pPr>
      <w:r w:rsidRPr="00D375B2">
        <w:rPr>
          <w:sz w:val="28"/>
          <w:szCs w:val="28"/>
        </w:rPr>
        <w:t>Director</w:t>
      </w:r>
    </w:p>
    <w:p w:rsidR="00994AAF" w:rsidRPr="00D375B2" w:rsidRDefault="00994AAF">
      <w:pPr>
        <w:rPr>
          <w:sz w:val="28"/>
          <w:szCs w:val="28"/>
        </w:rPr>
      </w:pPr>
      <w:r w:rsidRPr="00D375B2">
        <w:rPr>
          <w:sz w:val="28"/>
          <w:szCs w:val="28"/>
        </w:rPr>
        <w:t>Mayor’s Office of Criminal Justice</w:t>
      </w:r>
    </w:p>
    <w:p w:rsidR="00994AAF" w:rsidRPr="00D375B2" w:rsidRDefault="00994AAF">
      <w:pPr>
        <w:rPr>
          <w:sz w:val="28"/>
          <w:szCs w:val="28"/>
        </w:rPr>
      </w:pPr>
      <w:r w:rsidRPr="00D375B2">
        <w:rPr>
          <w:sz w:val="28"/>
          <w:szCs w:val="28"/>
        </w:rPr>
        <w:t>One Cent</w:t>
      </w:r>
      <w:r w:rsidR="00D87B77">
        <w:rPr>
          <w:sz w:val="28"/>
          <w:szCs w:val="28"/>
        </w:rPr>
        <w:t>re</w:t>
      </w:r>
      <w:r w:rsidRPr="00D375B2">
        <w:rPr>
          <w:sz w:val="28"/>
          <w:szCs w:val="28"/>
        </w:rPr>
        <w:t xml:space="preserve"> Street</w:t>
      </w:r>
    </w:p>
    <w:p w:rsidR="00994AAF" w:rsidRPr="00D375B2" w:rsidRDefault="00994AAF">
      <w:pPr>
        <w:rPr>
          <w:sz w:val="28"/>
          <w:szCs w:val="28"/>
        </w:rPr>
      </w:pPr>
      <w:r w:rsidRPr="00D375B2">
        <w:rPr>
          <w:sz w:val="28"/>
          <w:szCs w:val="28"/>
        </w:rPr>
        <w:t>New York, New York</w:t>
      </w:r>
      <w:r w:rsidR="00600B47">
        <w:rPr>
          <w:sz w:val="28"/>
          <w:szCs w:val="28"/>
        </w:rPr>
        <w:t xml:space="preserve"> 10007</w:t>
      </w:r>
      <w:bookmarkStart w:id="0" w:name="_GoBack"/>
      <w:bookmarkEnd w:id="0"/>
    </w:p>
    <w:p w:rsidR="00994AAF" w:rsidRPr="00D375B2" w:rsidRDefault="00994AAF">
      <w:pPr>
        <w:rPr>
          <w:sz w:val="28"/>
          <w:szCs w:val="28"/>
        </w:rPr>
      </w:pPr>
    </w:p>
    <w:p w:rsidR="00994AAF" w:rsidRPr="00D375B2" w:rsidRDefault="00994AAF">
      <w:pPr>
        <w:rPr>
          <w:sz w:val="28"/>
          <w:szCs w:val="28"/>
        </w:rPr>
      </w:pPr>
      <w:r w:rsidRPr="00D375B2">
        <w:rPr>
          <w:sz w:val="28"/>
          <w:szCs w:val="28"/>
        </w:rPr>
        <w:t>Re: The Bronx Defenders</w:t>
      </w:r>
    </w:p>
    <w:p w:rsidR="00994AAF" w:rsidRPr="00D375B2" w:rsidRDefault="00994AAF">
      <w:pPr>
        <w:rPr>
          <w:sz w:val="28"/>
          <w:szCs w:val="28"/>
        </w:rPr>
      </w:pPr>
    </w:p>
    <w:p w:rsidR="00994AAF" w:rsidRPr="00D375B2" w:rsidRDefault="00994AAF">
      <w:pPr>
        <w:rPr>
          <w:sz w:val="28"/>
          <w:szCs w:val="28"/>
        </w:rPr>
      </w:pPr>
      <w:r w:rsidRPr="00D375B2">
        <w:rPr>
          <w:sz w:val="28"/>
          <w:szCs w:val="28"/>
        </w:rPr>
        <w:t>Dear Ms. Glazer,</w:t>
      </w:r>
    </w:p>
    <w:p w:rsidR="00994AAF" w:rsidRPr="00D375B2" w:rsidRDefault="00994AAF">
      <w:pPr>
        <w:rPr>
          <w:sz w:val="28"/>
          <w:szCs w:val="28"/>
        </w:rPr>
      </w:pPr>
    </w:p>
    <w:p w:rsidR="007F0E8B" w:rsidRDefault="00994AAF" w:rsidP="00D375B2">
      <w:pPr>
        <w:spacing w:line="360" w:lineRule="auto"/>
        <w:jc w:val="both"/>
        <w:rPr>
          <w:sz w:val="28"/>
          <w:szCs w:val="28"/>
        </w:rPr>
      </w:pPr>
      <w:r w:rsidRPr="00D375B2">
        <w:rPr>
          <w:sz w:val="28"/>
          <w:szCs w:val="28"/>
        </w:rPr>
        <w:t xml:space="preserve">We are law professors who teach </w:t>
      </w:r>
      <w:r w:rsidR="001915B1" w:rsidRPr="00D375B2">
        <w:rPr>
          <w:sz w:val="28"/>
          <w:szCs w:val="28"/>
        </w:rPr>
        <w:t xml:space="preserve">at </w:t>
      </w:r>
      <w:r w:rsidR="00F106CF">
        <w:rPr>
          <w:sz w:val="28"/>
          <w:szCs w:val="28"/>
        </w:rPr>
        <w:t xml:space="preserve">New York </w:t>
      </w:r>
      <w:r w:rsidRPr="00D375B2">
        <w:rPr>
          <w:sz w:val="28"/>
          <w:szCs w:val="28"/>
        </w:rPr>
        <w:t>law schools</w:t>
      </w:r>
      <w:r w:rsidR="00B8394E">
        <w:rPr>
          <w:sz w:val="28"/>
          <w:szCs w:val="28"/>
        </w:rPr>
        <w:t xml:space="preserve"> and </w:t>
      </w:r>
      <w:r w:rsidR="000C6F36">
        <w:rPr>
          <w:sz w:val="28"/>
          <w:szCs w:val="28"/>
        </w:rPr>
        <w:t xml:space="preserve">are </w:t>
      </w:r>
      <w:r w:rsidR="00B8394E">
        <w:rPr>
          <w:sz w:val="28"/>
          <w:szCs w:val="28"/>
        </w:rPr>
        <w:t xml:space="preserve">very familiar with the New York City criminal justice system.  </w:t>
      </w:r>
      <w:r w:rsidRPr="00D375B2">
        <w:rPr>
          <w:sz w:val="28"/>
          <w:szCs w:val="28"/>
        </w:rPr>
        <w:t xml:space="preserve">We write </w:t>
      </w:r>
      <w:r w:rsidR="00D375B2" w:rsidRPr="00D375B2">
        <w:rPr>
          <w:sz w:val="28"/>
          <w:szCs w:val="28"/>
        </w:rPr>
        <w:t xml:space="preserve">to express our concern about the </w:t>
      </w:r>
      <w:r w:rsidR="00943EC3">
        <w:rPr>
          <w:sz w:val="28"/>
          <w:szCs w:val="28"/>
        </w:rPr>
        <w:t xml:space="preserve">widespread </w:t>
      </w:r>
      <w:r w:rsidR="00D375B2">
        <w:rPr>
          <w:sz w:val="28"/>
          <w:szCs w:val="28"/>
        </w:rPr>
        <w:t>overreaction to the Bronx Defenders</w:t>
      </w:r>
      <w:r w:rsidR="00A6026D">
        <w:rPr>
          <w:sz w:val="28"/>
          <w:szCs w:val="28"/>
        </w:rPr>
        <w:t xml:space="preserve">’ connection to </w:t>
      </w:r>
      <w:r w:rsidR="00B702DE">
        <w:rPr>
          <w:sz w:val="28"/>
          <w:szCs w:val="28"/>
        </w:rPr>
        <w:t>a recently relea</w:t>
      </w:r>
      <w:r w:rsidR="007F0E8B">
        <w:rPr>
          <w:sz w:val="28"/>
          <w:szCs w:val="28"/>
        </w:rPr>
        <w:t xml:space="preserve">sed You Tube video.  The media </w:t>
      </w:r>
      <w:r w:rsidR="00B702DE">
        <w:rPr>
          <w:sz w:val="28"/>
          <w:szCs w:val="28"/>
        </w:rPr>
        <w:t xml:space="preserve">has reported comments by </w:t>
      </w:r>
      <w:r w:rsidR="00943EC3">
        <w:rPr>
          <w:sz w:val="28"/>
          <w:szCs w:val="28"/>
        </w:rPr>
        <w:t xml:space="preserve">city officials, </w:t>
      </w:r>
      <w:r w:rsidR="00324F91">
        <w:rPr>
          <w:sz w:val="28"/>
          <w:szCs w:val="28"/>
        </w:rPr>
        <w:t xml:space="preserve">one </w:t>
      </w:r>
      <w:r w:rsidR="00943EC3">
        <w:rPr>
          <w:sz w:val="28"/>
          <w:szCs w:val="28"/>
        </w:rPr>
        <w:t xml:space="preserve">District Attorney, and </w:t>
      </w:r>
      <w:r w:rsidR="002B58C4">
        <w:rPr>
          <w:sz w:val="28"/>
          <w:szCs w:val="28"/>
        </w:rPr>
        <w:t xml:space="preserve">a </w:t>
      </w:r>
      <w:r w:rsidR="00943EC3">
        <w:rPr>
          <w:sz w:val="28"/>
          <w:szCs w:val="28"/>
        </w:rPr>
        <w:t>repres</w:t>
      </w:r>
      <w:r w:rsidR="005222CE">
        <w:rPr>
          <w:sz w:val="28"/>
          <w:szCs w:val="28"/>
        </w:rPr>
        <w:t>e</w:t>
      </w:r>
      <w:r w:rsidR="00943EC3">
        <w:rPr>
          <w:sz w:val="28"/>
          <w:szCs w:val="28"/>
        </w:rPr>
        <w:t>nt</w:t>
      </w:r>
      <w:r w:rsidR="005222CE">
        <w:rPr>
          <w:sz w:val="28"/>
          <w:szCs w:val="28"/>
        </w:rPr>
        <w:t>a</w:t>
      </w:r>
      <w:r w:rsidR="00943EC3">
        <w:rPr>
          <w:sz w:val="28"/>
          <w:szCs w:val="28"/>
        </w:rPr>
        <w:t xml:space="preserve">tive of the New York City Police Department </w:t>
      </w:r>
      <w:r w:rsidR="007F0E8B">
        <w:rPr>
          <w:sz w:val="28"/>
          <w:szCs w:val="28"/>
        </w:rPr>
        <w:t xml:space="preserve">that </w:t>
      </w:r>
      <w:r w:rsidR="001C7289">
        <w:rPr>
          <w:sz w:val="28"/>
          <w:szCs w:val="28"/>
        </w:rPr>
        <w:t xml:space="preserve">uniformly </w:t>
      </w:r>
      <w:r w:rsidR="00B702DE">
        <w:rPr>
          <w:sz w:val="28"/>
          <w:szCs w:val="28"/>
        </w:rPr>
        <w:t>condemn</w:t>
      </w:r>
      <w:r w:rsidR="001C7289">
        <w:rPr>
          <w:sz w:val="28"/>
          <w:szCs w:val="28"/>
        </w:rPr>
        <w:t xml:space="preserve"> </w:t>
      </w:r>
      <w:r w:rsidR="00B702DE">
        <w:rPr>
          <w:sz w:val="28"/>
          <w:szCs w:val="28"/>
        </w:rPr>
        <w:t>the Bronx Defenders and suggest</w:t>
      </w:r>
      <w:r w:rsidR="001C7289">
        <w:rPr>
          <w:sz w:val="28"/>
          <w:szCs w:val="28"/>
        </w:rPr>
        <w:t xml:space="preserve"> </w:t>
      </w:r>
      <w:r w:rsidR="004304FE">
        <w:rPr>
          <w:sz w:val="28"/>
          <w:szCs w:val="28"/>
        </w:rPr>
        <w:t>various d</w:t>
      </w:r>
      <w:r w:rsidR="00C3439B">
        <w:rPr>
          <w:sz w:val="28"/>
          <w:szCs w:val="28"/>
        </w:rPr>
        <w:t>raconian</w:t>
      </w:r>
      <w:r w:rsidR="007F0E8B">
        <w:rPr>
          <w:sz w:val="28"/>
          <w:szCs w:val="28"/>
        </w:rPr>
        <w:t xml:space="preserve"> response</w:t>
      </w:r>
      <w:r w:rsidR="004304FE">
        <w:rPr>
          <w:sz w:val="28"/>
          <w:szCs w:val="28"/>
        </w:rPr>
        <w:t>s</w:t>
      </w:r>
      <w:r w:rsidR="00324F91">
        <w:rPr>
          <w:sz w:val="28"/>
          <w:szCs w:val="28"/>
        </w:rPr>
        <w:t xml:space="preserve"> by the City</w:t>
      </w:r>
      <w:r w:rsidR="007F0E8B">
        <w:rPr>
          <w:sz w:val="28"/>
          <w:szCs w:val="28"/>
        </w:rPr>
        <w:t xml:space="preserve">. We write </w:t>
      </w:r>
      <w:r w:rsidR="00D375B2">
        <w:rPr>
          <w:sz w:val="28"/>
          <w:szCs w:val="28"/>
        </w:rPr>
        <w:t xml:space="preserve">to urge the City to continue to fund this </w:t>
      </w:r>
      <w:r w:rsidR="000C6F36">
        <w:rPr>
          <w:sz w:val="28"/>
          <w:szCs w:val="28"/>
        </w:rPr>
        <w:t xml:space="preserve">valuable and unique </w:t>
      </w:r>
      <w:r w:rsidR="00D375B2">
        <w:rPr>
          <w:sz w:val="28"/>
          <w:szCs w:val="28"/>
        </w:rPr>
        <w:t>organization.</w:t>
      </w:r>
    </w:p>
    <w:p w:rsidR="00802BF9" w:rsidRDefault="00802BF9" w:rsidP="00D375B2">
      <w:pPr>
        <w:spacing w:line="360" w:lineRule="auto"/>
        <w:jc w:val="both"/>
        <w:rPr>
          <w:sz w:val="28"/>
          <w:szCs w:val="28"/>
        </w:rPr>
      </w:pPr>
    </w:p>
    <w:p w:rsidR="00D375B2" w:rsidRPr="00C4697F" w:rsidRDefault="00D375B2" w:rsidP="00D375B2">
      <w:pPr>
        <w:spacing w:line="360" w:lineRule="auto"/>
        <w:jc w:val="both"/>
        <w:rPr>
          <w:sz w:val="28"/>
          <w:szCs w:val="28"/>
        </w:rPr>
      </w:pPr>
      <w:r w:rsidRPr="00C4697F">
        <w:rPr>
          <w:sz w:val="28"/>
          <w:szCs w:val="28"/>
        </w:rPr>
        <w:t xml:space="preserve">The </w:t>
      </w:r>
      <w:r w:rsidR="00802BF9">
        <w:rPr>
          <w:sz w:val="28"/>
          <w:szCs w:val="28"/>
        </w:rPr>
        <w:t>v</w:t>
      </w:r>
      <w:r w:rsidR="000C6F36">
        <w:rPr>
          <w:sz w:val="28"/>
          <w:szCs w:val="28"/>
        </w:rPr>
        <w:t>ideo</w:t>
      </w:r>
      <w:r w:rsidR="007F230D">
        <w:rPr>
          <w:sz w:val="28"/>
          <w:szCs w:val="28"/>
        </w:rPr>
        <w:t xml:space="preserve"> -- </w:t>
      </w:r>
      <w:r w:rsidR="00621561">
        <w:rPr>
          <w:sz w:val="28"/>
          <w:szCs w:val="28"/>
        </w:rPr>
        <w:t xml:space="preserve">as posted on </w:t>
      </w:r>
      <w:r w:rsidRPr="00C4697F">
        <w:rPr>
          <w:sz w:val="28"/>
          <w:szCs w:val="28"/>
        </w:rPr>
        <w:t>YouTube</w:t>
      </w:r>
      <w:r w:rsidR="00621561">
        <w:rPr>
          <w:sz w:val="28"/>
          <w:szCs w:val="28"/>
        </w:rPr>
        <w:t xml:space="preserve">, </w:t>
      </w:r>
      <w:r w:rsidRPr="00C4697F">
        <w:rPr>
          <w:sz w:val="28"/>
          <w:szCs w:val="28"/>
        </w:rPr>
        <w:t>depict</w:t>
      </w:r>
      <w:r w:rsidR="00621561">
        <w:rPr>
          <w:sz w:val="28"/>
          <w:szCs w:val="28"/>
        </w:rPr>
        <w:t xml:space="preserve">s </w:t>
      </w:r>
      <w:r w:rsidRPr="00C4697F">
        <w:rPr>
          <w:sz w:val="28"/>
          <w:szCs w:val="28"/>
        </w:rPr>
        <w:t xml:space="preserve">two </w:t>
      </w:r>
      <w:r w:rsidR="00621561">
        <w:rPr>
          <w:sz w:val="28"/>
          <w:szCs w:val="28"/>
        </w:rPr>
        <w:t xml:space="preserve">men </w:t>
      </w:r>
      <w:r w:rsidRPr="00C4697F">
        <w:rPr>
          <w:sz w:val="28"/>
          <w:szCs w:val="28"/>
        </w:rPr>
        <w:t>pointing guns at the head of a man dressed as a police officer</w:t>
      </w:r>
      <w:r w:rsidR="007F230D">
        <w:rPr>
          <w:sz w:val="28"/>
          <w:szCs w:val="28"/>
        </w:rPr>
        <w:t xml:space="preserve"> -- </w:t>
      </w:r>
      <w:r w:rsidR="00621561">
        <w:rPr>
          <w:sz w:val="28"/>
          <w:szCs w:val="28"/>
        </w:rPr>
        <w:t>i</w:t>
      </w:r>
      <w:r w:rsidRPr="00C4697F">
        <w:rPr>
          <w:sz w:val="28"/>
          <w:szCs w:val="28"/>
        </w:rPr>
        <w:t>s o</w:t>
      </w:r>
      <w:r w:rsidR="00F66C09">
        <w:rPr>
          <w:sz w:val="28"/>
          <w:szCs w:val="28"/>
        </w:rPr>
        <w:t>ffensive</w:t>
      </w:r>
      <w:r w:rsidRPr="00C4697F">
        <w:rPr>
          <w:sz w:val="28"/>
          <w:szCs w:val="28"/>
        </w:rPr>
        <w:t xml:space="preserve">. But the resulting call to defund the Bronx Defenders is </w:t>
      </w:r>
      <w:r>
        <w:rPr>
          <w:sz w:val="28"/>
          <w:szCs w:val="28"/>
        </w:rPr>
        <w:t xml:space="preserve">an </w:t>
      </w:r>
      <w:r w:rsidRPr="00C4697F">
        <w:rPr>
          <w:sz w:val="28"/>
          <w:szCs w:val="28"/>
        </w:rPr>
        <w:t>unwarranted</w:t>
      </w:r>
      <w:r w:rsidR="007F230D">
        <w:rPr>
          <w:sz w:val="28"/>
          <w:szCs w:val="28"/>
        </w:rPr>
        <w:t xml:space="preserve"> </w:t>
      </w:r>
      <w:r w:rsidRPr="00C4697F">
        <w:rPr>
          <w:sz w:val="28"/>
          <w:szCs w:val="28"/>
        </w:rPr>
        <w:t>and disproportionate response that would primarily serve to abandon thousands of the Bronx’s most vulnerable people</w:t>
      </w:r>
      <w:r>
        <w:rPr>
          <w:sz w:val="28"/>
          <w:szCs w:val="28"/>
        </w:rPr>
        <w:t xml:space="preserve">. </w:t>
      </w:r>
      <w:r w:rsidR="000C6F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It is also </w:t>
      </w:r>
      <w:r w:rsidR="000C6F36">
        <w:rPr>
          <w:sz w:val="28"/>
          <w:szCs w:val="28"/>
        </w:rPr>
        <w:t xml:space="preserve">contrary to </w:t>
      </w:r>
      <w:r>
        <w:rPr>
          <w:sz w:val="28"/>
          <w:szCs w:val="28"/>
        </w:rPr>
        <w:t xml:space="preserve">the City’s </w:t>
      </w:r>
      <w:r w:rsidR="00941981">
        <w:rPr>
          <w:sz w:val="28"/>
          <w:szCs w:val="28"/>
        </w:rPr>
        <w:t xml:space="preserve">abiding commitment to </w:t>
      </w:r>
      <w:r w:rsidR="000C6F36">
        <w:rPr>
          <w:sz w:val="28"/>
          <w:szCs w:val="28"/>
        </w:rPr>
        <w:t>provid</w:t>
      </w:r>
      <w:r w:rsidR="00941981">
        <w:rPr>
          <w:sz w:val="28"/>
          <w:szCs w:val="28"/>
        </w:rPr>
        <w:t xml:space="preserve">e </w:t>
      </w:r>
      <w:r w:rsidR="000C6F36">
        <w:rPr>
          <w:sz w:val="28"/>
          <w:szCs w:val="28"/>
        </w:rPr>
        <w:t xml:space="preserve">access to justice for </w:t>
      </w:r>
      <w:r w:rsidR="00886E37">
        <w:rPr>
          <w:sz w:val="28"/>
          <w:szCs w:val="28"/>
        </w:rPr>
        <w:t xml:space="preserve">many of its most chronically </w:t>
      </w:r>
      <w:r w:rsidR="000C6F36">
        <w:rPr>
          <w:sz w:val="28"/>
          <w:szCs w:val="28"/>
        </w:rPr>
        <w:t>underserved.</w:t>
      </w:r>
      <w:r>
        <w:rPr>
          <w:sz w:val="28"/>
          <w:szCs w:val="28"/>
        </w:rPr>
        <w:t xml:space="preserve"> </w:t>
      </w:r>
    </w:p>
    <w:p w:rsidR="00DA054E" w:rsidRDefault="00DA054E" w:rsidP="00D375B2">
      <w:pPr>
        <w:spacing w:line="360" w:lineRule="auto"/>
        <w:jc w:val="both"/>
        <w:rPr>
          <w:sz w:val="28"/>
          <w:szCs w:val="28"/>
        </w:rPr>
      </w:pPr>
    </w:p>
    <w:p w:rsidR="00D375B2" w:rsidRPr="00C4697F" w:rsidRDefault="00D375B2" w:rsidP="00D375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have carefully reviewed </w:t>
      </w:r>
      <w:r w:rsidRPr="00C4697F">
        <w:rPr>
          <w:sz w:val="28"/>
          <w:szCs w:val="28"/>
        </w:rPr>
        <w:t>the Department of Investigation report roundly criticizing the conduct of the Bronx Defender</w:t>
      </w:r>
      <w:r>
        <w:rPr>
          <w:sz w:val="28"/>
          <w:szCs w:val="28"/>
        </w:rPr>
        <w:t>s</w:t>
      </w:r>
      <w:r w:rsidR="00B8394E">
        <w:rPr>
          <w:sz w:val="28"/>
          <w:szCs w:val="28"/>
        </w:rPr>
        <w:t>’</w:t>
      </w:r>
      <w:r w:rsidRPr="00C4697F">
        <w:rPr>
          <w:sz w:val="28"/>
          <w:szCs w:val="28"/>
        </w:rPr>
        <w:t xml:space="preserve"> lawyers and its Executive Director</w:t>
      </w:r>
      <w:r w:rsidR="00B8394E">
        <w:rPr>
          <w:sz w:val="28"/>
          <w:szCs w:val="28"/>
        </w:rPr>
        <w:t>, Robin Steinberg</w:t>
      </w:r>
      <w:r w:rsidRPr="00C4697F">
        <w:rPr>
          <w:sz w:val="28"/>
          <w:szCs w:val="28"/>
        </w:rPr>
        <w:t xml:space="preserve">. </w:t>
      </w:r>
      <w:r w:rsidR="00B8394E">
        <w:rPr>
          <w:sz w:val="28"/>
          <w:szCs w:val="28"/>
        </w:rPr>
        <w:t xml:space="preserve">The report deemed Ms. </w:t>
      </w:r>
      <w:r w:rsidRPr="00C4697F">
        <w:rPr>
          <w:sz w:val="28"/>
          <w:szCs w:val="28"/>
        </w:rPr>
        <w:t>Steinberg’s conduct</w:t>
      </w:r>
      <w:r w:rsidR="00B8394E">
        <w:rPr>
          <w:sz w:val="28"/>
          <w:szCs w:val="28"/>
        </w:rPr>
        <w:t xml:space="preserve"> to be</w:t>
      </w:r>
      <w:r w:rsidRPr="00C4697F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Pr="00C4697F">
        <w:rPr>
          <w:sz w:val="28"/>
          <w:szCs w:val="28"/>
        </w:rPr>
        <w:t>gross mismanagement</w:t>
      </w:r>
      <w:r>
        <w:rPr>
          <w:sz w:val="28"/>
          <w:szCs w:val="28"/>
        </w:rPr>
        <w:t xml:space="preserve">,” </w:t>
      </w:r>
      <w:r w:rsidR="00B8394E">
        <w:rPr>
          <w:sz w:val="28"/>
          <w:szCs w:val="28"/>
        </w:rPr>
        <w:t xml:space="preserve">and </w:t>
      </w:r>
      <w:r>
        <w:rPr>
          <w:sz w:val="28"/>
          <w:szCs w:val="28"/>
        </w:rPr>
        <w:t>characteriz</w:t>
      </w:r>
      <w:r w:rsidR="00B8394E">
        <w:rPr>
          <w:sz w:val="28"/>
          <w:szCs w:val="28"/>
        </w:rPr>
        <w:t>ed</w:t>
      </w:r>
      <w:r>
        <w:rPr>
          <w:sz w:val="28"/>
          <w:szCs w:val="28"/>
        </w:rPr>
        <w:t xml:space="preserve"> </w:t>
      </w:r>
      <w:r w:rsidRPr="00C4697F">
        <w:rPr>
          <w:sz w:val="28"/>
          <w:szCs w:val="28"/>
        </w:rPr>
        <w:t xml:space="preserve">her conduct, supervision and oversight </w:t>
      </w:r>
      <w:r>
        <w:rPr>
          <w:sz w:val="28"/>
          <w:szCs w:val="28"/>
        </w:rPr>
        <w:t xml:space="preserve">as </w:t>
      </w:r>
      <w:r w:rsidRPr="00C4697F">
        <w:rPr>
          <w:sz w:val="28"/>
          <w:szCs w:val="28"/>
        </w:rPr>
        <w:t>“fundamentally deficient.” Steinberg— a Public Defender for more than thirty years</w:t>
      </w:r>
      <w:r w:rsidR="00E2545D">
        <w:rPr>
          <w:sz w:val="28"/>
          <w:szCs w:val="28"/>
        </w:rPr>
        <w:t xml:space="preserve">, </w:t>
      </w:r>
      <w:r w:rsidRPr="00C4697F">
        <w:rPr>
          <w:sz w:val="28"/>
          <w:szCs w:val="28"/>
        </w:rPr>
        <w:t>created and has built the Bronx Defenders into a standard</w:t>
      </w:r>
      <w:r>
        <w:rPr>
          <w:sz w:val="28"/>
          <w:szCs w:val="28"/>
        </w:rPr>
        <w:t>-</w:t>
      </w:r>
      <w:r w:rsidRPr="00C4697F">
        <w:rPr>
          <w:sz w:val="28"/>
          <w:szCs w:val="28"/>
        </w:rPr>
        <w:t xml:space="preserve">setting defender organization </w:t>
      </w:r>
      <w:r w:rsidR="00B8394E">
        <w:rPr>
          <w:sz w:val="28"/>
          <w:szCs w:val="28"/>
        </w:rPr>
        <w:t>o</w:t>
      </w:r>
      <w:r w:rsidRPr="00C4697F">
        <w:rPr>
          <w:sz w:val="28"/>
          <w:szCs w:val="28"/>
        </w:rPr>
        <w:t>f 250 employees—made a serious mistake</w:t>
      </w:r>
      <w:r>
        <w:rPr>
          <w:sz w:val="28"/>
          <w:szCs w:val="28"/>
        </w:rPr>
        <w:t xml:space="preserve">. </w:t>
      </w:r>
      <w:r w:rsidRPr="00C4697F">
        <w:rPr>
          <w:sz w:val="28"/>
          <w:szCs w:val="28"/>
        </w:rPr>
        <w:t xml:space="preserve">But an </w:t>
      </w:r>
      <w:r w:rsidR="002E0D9A">
        <w:rPr>
          <w:sz w:val="28"/>
          <w:szCs w:val="28"/>
        </w:rPr>
        <w:t xml:space="preserve">isolated </w:t>
      </w:r>
      <w:r w:rsidRPr="00C4697F">
        <w:rPr>
          <w:sz w:val="28"/>
          <w:szCs w:val="28"/>
        </w:rPr>
        <w:t>instance of “mismanagement” hardly justifies the il</w:t>
      </w:r>
      <w:r>
        <w:rPr>
          <w:sz w:val="28"/>
          <w:szCs w:val="28"/>
        </w:rPr>
        <w:t>l</w:t>
      </w:r>
      <w:r w:rsidR="00B8394E">
        <w:rPr>
          <w:sz w:val="28"/>
          <w:szCs w:val="28"/>
        </w:rPr>
        <w:t>-</w:t>
      </w:r>
      <w:r>
        <w:rPr>
          <w:sz w:val="28"/>
          <w:szCs w:val="28"/>
        </w:rPr>
        <w:t>considered call for defunding</w:t>
      </w:r>
      <w:r w:rsidRPr="00C4697F">
        <w:rPr>
          <w:sz w:val="28"/>
          <w:szCs w:val="28"/>
        </w:rPr>
        <w:t xml:space="preserve"> </w:t>
      </w:r>
      <w:r w:rsidR="006323D4">
        <w:rPr>
          <w:sz w:val="28"/>
          <w:szCs w:val="28"/>
        </w:rPr>
        <w:t xml:space="preserve">such </w:t>
      </w:r>
      <w:r w:rsidRPr="00C4697F">
        <w:rPr>
          <w:sz w:val="28"/>
          <w:szCs w:val="28"/>
        </w:rPr>
        <w:t xml:space="preserve">an important institution. </w:t>
      </w:r>
    </w:p>
    <w:p w:rsidR="00CF3194" w:rsidRDefault="00CF3194">
      <w:pPr>
        <w:spacing w:line="360" w:lineRule="auto"/>
        <w:jc w:val="both"/>
        <w:rPr>
          <w:sz w:val="28"/>
          <w:szCs w:val="28"/>
        </w:rPr>
      </w:pPr>
    </w:p>
    <w:p w:rsidR="00CF3194" w:rsidRDefault="00D375B2">
      <w:pPr>
        <w:spacing w:line="360" w:lineRule="auto"/>
        <w:jc w:val="both"/>
        <w:rPr>
          <w:sz w:val="28"/>
          <w:szCs w:val="28"/>
        </w:rPr>
      </w:pPr>
      <w:r w:rsidRPr="00C4697F">
        <w:rPr>
          <w:sz w:val="28"/>
          <w:szCs w:val="28"/>
        </w:rPr>
        <w:t>The city has trusted th</w:t>
      </w:r>
      <w:r>
        <w:rPr>
          <w:sz w:val="28"/>
          <w:szCs w:val="28"/>
        </w:rPr>
        <w:t>e Bronx Defenders for 18 years because it is a</w:t>
      </w:r>
      <w:r w:rsidRPr="00C4697F">
        <w:rPr>
          <w:sz w:val="28"/>
          <w:szCs w:val="28"/>
        </w:rPr>
        <w:t xml:space="preserve"> model for </w:t>
      </w:r>
      <w:r w:rsidR="00B8394E">
        <w:rPr>
          <w:sz w:val="28"/>
          <w:szCs w:val="28"/>
        </w:rPr>
        <w:t xml:space="preserve">innovative and </w:t>
      </w:r>
      <w:r w:rsidRPr="00C4697F">
        <w:rPr>
          <w:sz w:val="28"/>
          <w:szCs w:val="28"/>
        </w:rPr>
        <w:t xml:space="preserve">effective </w:t>
      </w:r>
      <w:r>
        <w:rPr>
          <w:sz w:val="28"/>
          <w:szCs w:val="28"/>
        </w:rPr>
        <w:t>advocacy for the underserved</w:t>
      </w:r>
      <w:r w:rsidRPr="00C4697F">
        <w:rPr>
          <w:sz w:val="28"/>
          <w:szCs w:val="28"/>
        </w:rPr>
        <w:t>.  Its lawyers and staff ser</w:t>
      </w:r>
      <w:r>
        <w:rPr>
          <w:sz w:val="28"/>
          <w:szCs w:val="28"/>
        </w:rPr>
        <w:t xml:space="preserve">ve </w:t>
      </w:r>
      <w:r w:rsidRPr="00C4697F">
        <w:rPr>
          <w:sz w:val="28"/>
          <w:szCs w:val="28"/>
        </w:rPr>
        <w:t>clients charged with crimes</w:t>
      </w:r>
      <w:r w:rsidR="000C6F36">
        <w:rPr>
          <w:sz w:val="28"/>
          <w:szCs w:val="28"/>
        </w:rPr>
        <w:t>,</w:t>
      </w:r>
      <w:r w:rsidRPr="00C469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</w:t>
      </w:r>
      <w:r w:rsidRPr="00C4697F">
        <w:rPr>
          <w:sz w:val="28"/>
          <w:szCs w:val="28"/>
        </w:rPr>
        <w:t>assist community members with housing, family, child custody, immigration, school-related and re-entry issues</w:t>
      </w:r>
      <w:r>
        <w:rPr>
          <w:sz w:val="28"/>
          <w:szCs w:val="28"/>
        </w:rPr>
        <w:t xml:space="preserve">. They </w:t>
      </w:r>
      <w:r w:rsidRPr="00C4697F">
        <w:rPr>
          <w:sz w:val="28"/>
          <w:szCs w:val="28"/>
        </w:rPr>
        <w:t>also provide community supp</w:t>
      </w:r>
      <w:r>
        <w:rPr>
          <w:sz w:val="28"/>
          <w:szCs w:val="28"/>
        </w:rPr>
        <w:t xml:space="preserve">ort to empower Bronx residents </w:t>
      </w:r>
      <w:r w:rsidRPr="00C4697F">
        <w:rPr>
          <w:sz w:val="28"/>
          <w:szCs w:val="28"/>
        </w:rPr>
        <w:t>to help themselves</w:t>
      </w:r>
      <w:r>
        <w:rPr>
          <w:sz w:val="28"/>
          <w:szCs w:val="28"/>
        </w:rPr>
        <w:t xml:space="preserve">, and strive to </w:t>
      </w:r>
      <w:r w:rsidRPr="00C4697F">
        <w:rPr>
          <w:sz w:val="28"/>
          <w:szCs w:val="28"/>
        </w:rPr>
        <w:t xml:space="preserve">restore dignity to those who are most affected by the often-dire consequences of life in the </w:t>
      </w:r>
      <w:r>
        <w:rPr>
          <w:sz w:val="28"/>
          <w:szCs w:val="28"/>
        </w:rPr>
        <w:t xml:space="preserve">Bronx’s </w:t>
      </w:r>
      <w:r w:rsidRPr="00C4697F">
        <w:rPr>
          <w:sz w:val="28"/>
          <w:szCs w:val="28"/>
        </w:rPr>
        <w:t xml:space="preserve">poorest </w:t>
      </w:r>
      <w:r>
        <w:rPr>
          <w:sz w:val="28"/>
          <w:szCs w:val="28"/>
        </w:rPr>
        <w:t xml:space="preserve">neighborhoods. </w:t>
      </w:r>
    </w:p>
    <w:p w:rsidR="00941981" w:rsidRDefault="00941981">
      <w:pPr>
        <w:spacing w:line="360" w:lineRule="auto"/>
        <w:jc w:val="both"/>
        <w:rPr>
          <w:sz w:val="28"/>
          <w:szCs w:val="28"/>
        </w:rPr>
      </w:pPr>
    </w:p>
    <w:p w:rsidR="00CF3194" w:rsidRDefault="00D375B2">
      <w:pPr>
        <w:spacing w:line="360" w:lineRule="auto"/>
        <w:jc w:val="both"/>
        <w:rPr>
          <w:sz w:val="28"/>
          <w:szCs w:val="28"/>
        </w:rPr>
      </w:pPr>
      <w:r w:rsidRPr="00C4697F">
        <w:rPr>
          <w:sz w:val="28"/>
          <w:szCs w:val="28"/>
        </w:rPr>
        <w:t xml:space="preserve">The Bronx Defenders </w:t>
      </w:r>
      <w:r w:rsidR="00B8394E">
        <w:rPr>
          <w:sz w:val="28"/>
          <w:szCs w:val="28"/>
        </w:rPr>
        <w:t xml:space="preserve">is a nationally recognized and award-winning office that </w:t>
      </w:r>
      <w:r w:rsidRPr="00C4697F">
        <w:rPr>
          <w:sz w:val="28"/>
          <w:szCs w:val="28"/>
        </w:rPr>
        <w:t xml:space="preserve">has trained scores of public defender offices around the country </w:t>
      </w:r>
      <w:r>
        <w:rPr>
          <w:sz w:val="28"/>
          <w:szCs w:val="28"/>
        </w:rPr>
        <w:t xml:space="preserve">to </w:t>
      </w:r>
      <w:r w:rsidRPr="00C4697F">
        <w:rPr>
          <w:sz w:val="28"/>
          <w:szCs w:val="28"/>
        </w:rPr>
        <w:t xml:space="preserve">adapt </w:t>
      </w:r>
      <w:r>
        <w:rPr>
          <w:sz w:val="28"/>
          <w:szCs w:val="28"/>
        </w:rPr>
        <w:t xml:space="preserve">its </w:t>
      </w:r>
      <w:r w:rsidRPr="00C4697F">
        <w:rPr>
          <w:sz w:val="28"/>
          <w:szCs w:val="28"/>
        </w:rPr>
        <w:t xml:space="preserve">creative, cost-efficient model for their cities. It is a shining example of how New York can lead the way in </w:t>
      </w:r>
      <w:r w:rsidR="00B65955">
        <w:rPr>
          <w:sz w:val="28"/>
          <w:szCs w:val="28"/>
        </w:rPr>
        <w:t xml:space="preserve">advancing </w:t>
      </w:r>
      <w:r w:rsidRPr="00C4697F">
        <w:rPr>
          <w:sz w:val="28"/>
          <w:szCs w:val="28"/>
        </w:rPr>
        <w:t xml:space="preserve">smart, efficient, criminal justice policy. </w:t>
      </w:r>
    </w:p>
    <w:p w:rsidR="005A62ED" w:rsidRDefault="005A62ED">
      <w:pPr>
        <w:spacing w:line="360" w:lineRule="auto"/>
        <w:jc w:val="both"/>
        <w:rPr>
          <w:sz w:val="28"/>
          <w:szCs w:val="28"/>
        </w:rPr>
      </w:pPr>
    </w:p>
    <w:p w:rsidR="00CF3194" w:rsidRDefault="00D375B2">
      <w:pPr>
        <w:spacing w:line="360" w:lineRule="auto"/>
        <w:jc w:val="both"/>
        <w:rPr>
          <w:sz w:val="28"/>
          <w:szCs w:val="28"/>
        </w:rPr>
      </w:pPr>
      <w:r w:rsidRPr="00C4697F">
        <w:rPr>
          <w:sz w:val="28"/>
          <w:szCs w:val="28"/>
        </w:rPr>
        <w:t>The political climate could not be worse for the Bronx Def</w:t>
      </w:r>
      <w:r>
        <w:rPr>
          <w:sz w:val="28"/>
          <w:szCs w:val="28"/>
        </w:rPr>
        <w:t>enders but th</w:t>
      </w:r>
      <w:r w:rsidR="00B8394E">
        <w:rPr>
          <w:sz w:val="28"/>
          <w:szCs w:val="28"/>
        </w:rPr>
        <w:t>e</w:t>
      </w:r>
      <w:r>
        <w:rPr>
          <w:sz w:val="28"/>
          <w:szCs w:val="28"/>
        </w:rPr>
        <w:t xml:space="preserve"> office should not be a casualty of the unfortunate vitriol that </w:t>
      </w:r>
      <w:r w:rsidR="00941981">
        <w:rPr>
          <w:sz w:val="28"/>
          <w:szCs w:val="28"/>
        </w:rPr>
        <w:t xml:space="preserve">permeates </w:t>
      </w:r>
      <w:r w:rsidR="003C3AAE">
        <w:rPr>
          <w:sz w:val="28"/>
          <w:szCs w:val="28"/>
        </w:rPr>
        <w:t xml:space="preserve">too </w:t>
      </w:r>
      <w:r w:rsidR="00941981">
        <w:rPr>
          <w:sz w:val="28"/>
          <w:szCs w:val="28"/>
        </w:rPr>
        <w:t xml:space="preserve">much of the </w:t>
      </w:r>
      <w:r w:rsidR="003C3AAE">
        <w:rPr>
          <w:sz w:val="28"/>
          <w:szCs w:val="28"/>
        </w:rPr>
        <w:t xml:space="preserve">current </w:t>
      </w:r>
      <w:r w:rsidR="00941981">
        <w:rPr>
          <w:sz w:val="28"/>
          <w:szCs w:val="28"/>
        </w:rPr>
        <w:t xml:space="preserve">discussion </w:t>
      </w:r>
      <w:r>
        <w:rPr>
          <w:sz w:val="28"/>
          <w:szCs w:val="28"/>
        </w:rPr>
        <w:t xml:space="preserve">about </w:t>
      </w:r>
      <w:r w:rsidR="001011D6">
        <w:rPr>
          <w:sz w:val="28"/>
          <w:szCs w:val="28"/>
        </w:rPr>
        <w:t xml:space="preserve">the state of </w:t>
      </w:r>
      <w:r>
        <w:rPr>
          <w:sz w:val="28"/>
          <w:szCs w:val="28"/>
        </w:rPr>
        <w:t xml:space="preserve">New York City’s criminal justice system.  Certainly, there need to be </w:t>
      </w:r>
      <w:r w:rsidR="00B8394E">
        <w:rPr>
          <w:sz w:val="28"/>
          <w:szCs w:val="28"/>
        </w:rPr>
        <w:t xml:space="preserve">systems and protocols put in place by the </w:t>
      </w:r>
      <w:r w:rsidRPr="00C4697F">
        <w:rPr>
          <w:sz w:val="28"/>
          <w:szCs w:val="28"/>
        </w:rPr>
        <w:t>Bronx Defenders</w:t>
      </w:r>
      <w:r w:rsidR="00B8394E">
        <w:rPr>
          <w:sz w:val="28"/>
          <w:szCs w:val="28"/>
        </w:rPr>
        <w:t xml:space="preserve"> to ensure appropriate oversight of its staff</w:t>
      </w:r>
      <w:r w:rsidR="00E9487A">
        <w:rPr>
          <w:sz w:val="28"/>
          <w:szCs w:val="28"/>
        </w:rPr>
        <w:t>.  T</w:t>
      </w:r>
      <w:r w:rsidR="00674E66">
        <w:rPr>
          <w:sz w:val="28"/>
          <w:szCs w:val="28"/>
        </w:rPr>
        <w:t>hat will no doubt occur</w:t>
      </w:r>
      <w:r w:rsidR="00E9487A">
        <w:rPr>
          <w:sz w:val="28"/>
          <w:szCs w:val="28"/>
        </w:rPr>
        <w:t xml:space="preserve">.  </w:t>
      </w:r>
      <w:r w:rsidR="00B61BC8">
        <w:rPr>
          <w:sz w:val="28"/>
          <w:szCs w:val="28"/>
        </w:rPr>
        <w:t>But w</w:t>
      </w:r>
      <w:r>
        <w:rPr>
          <w:sz w:val="28"/>
          <w:szCs w:val="28"/>
        </w:rPr>
        <w:t xml:space="preserve">e urge the City to </w:t>
      </w:r>
      <w:r w:rsidR="00B8394E">
        <w:rPr>
          <w:sz w:val="28"/>
          <w:szCs w:val="28"/>
        </w:rPr>
        <w:t xml:space="preserve">avoid taking actions that </w:t>
      </w:r>
      <w:r>
        <w:rPr>
          <w:sz w:val="28"/>
          <w:szCs w:val="28"/>
        </w:rPr>
        <w:t xml:space="preserve">threaten </w:t>
      </w:r>
      <w:r w:rsidR="00B8394E">
        <w:rPr>
          <w:sz w:val="28"/>
          <w:szCs w:val="28"/>
        </w:rPr>
        <w:t xml:space="preserve">the office’s </w:t>
      </w:r>
      <w:r>
        <w:rPr>
          <w:sz w:val="28"/>
          <w:szCs w:val="28"/>
        </w:rPr>
        <w:t xml:space="preserve">ability to </w:t>
      </w:r>
      <w:r w:rsidRPr="00C4697F">
        <w:rPr>
          <w:sz w:val="28"/>
          <w:szCs w:val="28"/>
        </w:rPr>
        <w:t xml:space="preserve">continue to </w:t>
      </w:r>
      <w:r>
        <w:rPr>
          <w:sz w:val="28"/>
          <w:szCs w:val="28"/>
        </w:rPr>
        <w:t xml:space="preserve">so </w:t>
      </w:r>
      <w:r w:rsidRPr="00C4697F">
        <w:rPr>
          <w:sz w:val="28"/>
          <w:szCs w:val="28"/>
        </w:rPr>
        <w:t xml:space="preserve">ably serve a borough and its </w:t>
      </w:r>
      <w:r>
        <w:rPr>
          <w:sz w:val="28"/>
          <w:szCs w:val="28"/>
        </w:rPr>
        <w:t xml:space="preserve">people </w:t>
      </w:r>
      <w:r w:rsidRPr="00C4697F">
        <w:rPr>
          <w:sz w:val="28"/>
          <w:szCs w:val="28"/>
        </w:rPr>
        <w:t xml:space="preserve">who rarely get </w:t>
      </w:r>
      <w:r>
        <w:rPr>
          <w:sz w:val="28"/>
          <w:szCs w:val="28"/>
        </w:rPr>
        <w:t xml:space="preserve">their </w:t>
      </w:r>
      <w:r w:rsidRPr="00C4697F">
        <w:rPr>
          <w:sz w:val="28"/>
          <w:szCs w:val="28"/>
        </w:rPr>
        <w:t>fair share of New York City’s resources.</w:t>
      </w:r>
    </w:p>
    <w:p w:rsidR="00D375B2" w:rsidRDefault="00D375B2" w:rsidP="00D375B2">
      <w:pPr>
        <w:spacing w:line="360" w:lineRule="auto"/>
        <w:ind w:firstLine="720"/>
        <w:jc w:val="both"/>
        <w:rPr>
          <w:sz w:val="28"/>
          <w:szCs w:val="28"/>
        </w:rPr>
      </w:pPr>
    </w:p>
    <w:p w:rsidR="00377F21" w:rsidRDefault="00377F21" w:rsidP="004328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Respectfully, </w:t>
      </w:r>
    </w:p>
    <w:p w:rsidR="00377F21" w:rsidRDefault="00377F21" w:rsidP="00432879">
      <w:pPr>
        <w:jc w:val="both"/>
        <w:rPr>
          <w:sz w:val="28"/>
          <w:szCs w:val="28"/>
        </w:rPr>
      </w:pPr>
    </w:p>
    <w:p w:rsidR="000D5C64" w:rsidRDefault="00D375B2" w:rsidP="00432879">
      <w:pPr>
        <w:jc w:val="both"/>
        <w:rPr>
          <w:sz w:val="28"/>
          <w:szCs w:val="28"/>
        </w:rPr>
      </w:pPr>
      <w:r>
        <w:rPr>
          <w:sz w:val="28"/>
          <w:szCs w:val="28"/>
        </w:rPr>
        <w:t>Jonathan</w:t>
      </w:r>
      <w:r w:rsidR="004061AD">
        <w:rPr>
          <w:sz w:val="28"/>
          <w:szCs w:val="28"/>
        </w:rPr>
        <w:t xml:space="preserve"> </w:t>
      </w:r>
      <w:r>
        <w:rPr>
          <w:sz w:val="28"/>
          <w:szCs w:val="28"/>
        </w:rPr>
        <w:t>Oberman</w:t>
      </w:r>
    </w:p>
    <w:p w:rsidR="004D6F6C" w:rsidRDefault="004D6F6C" w:rsidP="00432879">
      <w:pPr>
        <w:jc w:val="both"/>
        <w:rPr>
          <w:sz w:val="28"/>
          <w:szCs w:val="28"/>
        </w:rPr>
      </w:pPr>
      <w:r>
        <w:rPr>
          <w:sz w:val="28"/>
          <w:szCs w:val="28"/>
        </w:rPr>
        <w:t>Barry Scheck</w:t>
      </w:r>
    </w:p>
    <w:p w:rsidR="00742E7D" w:rsidRDefault="00D375B2" w:rsidP="00432879">
      <w:pPr>
        <w:jc w:val="both"/>
        <w:rPr>
          <w:sz w:val="28"/>
          <w:szCs w:val="28"/>
        </w:rPr>
      </w:pPr>
      <w:r>
        <w:rPr>
          <w:sz w:val="28"/>
          <w:szCs w:val="28"/>
        </w:rPr>
        <w:t>Ellen Yaroshefsky</w:t>
      </w:r>
    </w:p>
    <w:p w:rsidR="00432879" w:rsidRDefault="00432879" w:rsidP="00432879">
      <w:pPr>
        <w:jc w:val="both"/>
        <w:rPr>
          <w:sz w:val="28"/>
          <w:szCs w:val="28"/>
        </w:rPr>
      </w:pPr>
      <w:r>
        <w:rPr>
          <w:sz w:val="28"/>
          <w:szCs w:val="28"/>
        </w:rPr>
        <w:t>Cardozo School of Law</w:t>
      </w:r>
    </w:p>
    <w:p w:rsidR="00432879" w:rsidRDefault="00432879" w:rsidP="00432879">
      <w:pPr>
        <w:jc w:val="both"/>
        <w:rPr>
          <w:sz w:val="28"/>
          <w:szCs w:val="28"/>
        </w:rPr>
      </w:pPr>
    </w:p>
    <w:p w:rsidR="000D5C64" w:rsidRDefault="00D375B2" w:rsidP="00432879">
      <w:pPr>
        <w:jc w:val="both"/>
        <w:rPr>
          <w:sz w:val="28"/>
          <w:szCs w:val="28"/>
        </w:rPr>
      </w:pPr>
      <w:r>
        <w:rPr>
          <w:sz w:val="28"/>
          <w:szCs w:val="28"/>
        </w:rPr>
        <w:t>Steven Zeidman</w:t>
      </w:r>
    </w:p>
    <w:p w:rsidR="00BB2C99" w:rsidRDefault="00BB2C99" w:rsidP="004328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Nicole Smith </w:t>
      </w:r>
    </w:p>
    <w:p w:rsidR="004D6F6C" w:rsidRDefault="00D375B2" w:rsidP="004328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CUNY </w:t>
      </w:r>
      <w:r w:rsidR="00742E7D">
        <w:rPr>
          <w:sz w:val="28"/>
          <w:szCs w:val="28"/>
        </w:rPr>
        <w:t xml:space="preserve">School of </w:t>
      </w:r>
      <w:r>
        <w:rPr>
          <w:sz w:val="28"/>
          <w:szCs w:val="28"/>
        </w:rPr>
        <w:t xml:space="preserve">Law </w:t>
      </w:r>
    </w:p>
    <w:p w:rsidR="004D6F6C" w:rsidRDefault="004D6F6C" w:rsidP="00432879">
      <w:pPr>
        <w:jc w:val="both"/>
        <w:rPr>
          <w:sz w:val="28"/>
          <w:szCs w:val="28"/>
        </w:rPr>
      </w:pPr>
    </w:p>
    <w:p w:rsidR="004D6F6C" w:rsidRDefault="004D6F6C" w:rsidP="004D6F6C">
      <w:pPr>
        <w:jc w:val="both"/>
        <w:rPr>
          <w:sz w:val="28"/>
          <w:szCs w:val="28"/>
        </w:rPr>
      </w:pPr>
      <w:r>
        <w:rPr>
          <w:sz w:val="28"/>
          <w:szCs w:val="28"/>
        </w:rPr>
        <w:t>W. Bradley Wendel</w:t>
      </w:r>
    </w:p>
    <w:p w:rsidR="004D6F6C" w:rsidRDefault="004D6F6C" w:rsidP="004D6F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Cornell University School of Law </w:t>
      </w:r>
    </w:p>
    <w:p w:rsidR="004D6F6C" w:rsidRDefault="004D6F6C" w:rsidP="004D6F6C">
      <w:pPr>
        <w:jc w:val="both"/>
        <w:rPr>
          <w:sz w:val="28"/>
          <w:szCs w:val="28"/>
        </w:rPr>
      </w:pPr>
    </w:p>
    <w:p w:rsidR="004D6F6C" w:rsidRDefault="004D6F6C" w:rsidP="004D6F6C">
      <w:pPr>
        <w:jc w:val="both"/>
        <w:rPr>
          <w:sz w:val="28"/>
          <w:szCs w:val="28"/>
        </w:rPr>
      </w:pPr>
      <w:r>
        <w:rPr>
          <w:sz w:val="28"/>
          <w:szCs w:val="28"/>
        </w:rPr>
        <w:t>Monroe Freedman</w:t>
      </w:r>
    </w:p>
    <w:p w:rsidR="004D6F6C" w:rsidRDefault="004D6F6C" w:rsidP="004061AD">
      <w:pPr>
        <w:jc w:val="both"/>
        <w:rPr>
          <w:sz w:val="28"/>
          <w:szCs w:val="28"/>
        </w:rPr>
      </w:pPr>
      <w:r>
        <w:rPr>
          <w:sz w:val="28"/>
          <w:szCs w:val="28"/>
        </w:rPr>
        <w:t>Hofstra Law School</w:t>
      </w:r>
    </w:p>
    <w:p w:rsidR="004D6F6C" w:rsidRDefault="004D6F6C" w:rsidP="004061AD">
      <w:pPr>
        <w:jc w:val="both"/>
        <w:rPr>
          <w:sz w:val="28"/>
          <w:szCs w:val="28"/>
        </w:rPr>
      </w:pPr>
    </w:p>
    <w:p w:rsidR="004D6F6C" w:rsidRDefault="004D6F6C" w:rsidP="004061AD">
      <w:pPr>
        <w:jc w:val="both"/>
        <w:rPr>
          <w:sz w:val="28"/>
          <w:szCs w:val="28"/>
        </w:rPr>
      </w:pPr>
      <w:r>
        <w:rPr>
          <w:sz w:val="28"/>
          <w:szCs w:val="28"/>
        </w:rPr>
        <w:t>Adele Bernhard</w:t>
      </w:r>
    </w:p>
    <w:p w:rsidR="004D6F6C" w:rsidRDefault="004D6F6C" w:rsidP="004061AD">
      <w:pPr>
        <w:jc w:val="both"/>
        <w:rPr>
          <w:sz w:val="28"/>
          <w:szCs w:val="28"/>
        </w:rPr>
      </w:pPr>
      <w:r>
        <w:rPr>
          <w:sz w:val="28"/>
          <w:szCs w:val="28"/>
        </w:rPr>
        <w:t>New York Law School</w:t>
      </w:r>
    </w:p>
    <w:p w:rsidR="004D6F6C" w:rsidRDefault="004D6F6C" w:rsidP="004061AD">
      <w:pPr>
        <w:jc w:val="both"/>
        <w:rPr>
          <w:sz w:val="28"/>
          <w:szCs w:val="28"/>
        </w:rPr>
      </w:pPr>
    </w:p>
    <w:p w:rsidR="004D6F6C" w:rsidRDefault="004D6F6C" w:rsidP="004D6F6C">
      <w:pPr>
        <w:jc w:val="both"/>
        <w:rPr>
          <w:sz w:val="28"/>
          <w:szCs w:val="28"/>
        </w:rPr>
      </w:pPr>
      <w:r>
        <w:rPr>
          <w:sz w:val="28"/>
          <w:szCs w:val="28"/>
        </w:rPr>
        <w:t>Martin Guggenheim</w:t>
      </w:r>
    </w:p>
    <w:p w:rsidR="004D6F6C" w:rsidRDefault="004D6F6C" w:rsidP="004D6F6C">
      <w:pPr>
        <w:jc w:val="both"/>
        <w:rPr>
          <w:sz w:val="28"/>
          <w:szCs w:val="28"/>
        </w:rPr>
      </w:pPr>
      <w:r>
        <w:rPr>
          <w:sz w:val="28"/>
          <w:szCs w:val="28"/>
        </w:rPr>
        <w:t>Randy Hertz</w:t>
      </w:r>
    </w:p>
    <w:p w:rsidR="004D6F6C" w:rsidRDefault="004D6F6C" w:rsidP="004D6F6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Holly Maguigan</w:t>
      </w:r>
    </w:p>
    <w:p w:rsidR="004D6F6C" w:rsidRDefault="004D6F6C" w:rsidP="004D6F6C">
      <w:pPr>
        <w:jc w:val="both"/>
        <w:rPr>
          <w:sz w:val="28"/>
          <w:szCs w:val="28"/>
        </w:rPr>
      </w:pPr>
      <w:r>
        <w:rPr>
          <w:sz w:val="28"/>
          <w:szCs w:val="28"/>
        </w:rPr>
        <w:t>Stephen Schulhofer</w:t>
      </w:r>
    </w:p>
    <w:p w:rsidR="004D6F6C" w:rsidRDefault="004D6F6C" w:rsidP="004D6F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New York University School of Law </w:t>
      </w:r>
    </w:p>
    <w:p w:rsidR="004D6F6C" w:rsidRDefault="004D6F6C" w:rsidP="004D6F6C">
      <w:pPr>
        <w:ind w:firstLine="720"/>
        <w:jc w:val="both"/>
        <w:rPr>
          <w:sz w:val="28"/>
          <w:szCs w:val="28"/>
        </w:rPr>
      </w:pPr>
    </w:p>
    <w:p w:rsidR="004D6F6C" w:rsidRDefault="004D6F6C" w:rsidP="004D6F6C">
      <w:pPr>
        <w:ind w:firstLine="720"/>
        <w:jc w:val="both"/>
        <w:rPr>
          <w:sz w:val="28"/>
          <w:szCs w:val="28"/>
        </w:rPr>
      </w:pPr>
    </w:p>
    <w:p w:rsidR="000D5C64" w:rsidRDefault="000D5C64" w:rsidP="00432879">
      <w:pPr>
        <w:jc w:val="both"/>
        <w:rPr>
          <w:sz w:val="28"/>
          <w:szCs w:val="28"/>
        </w:rPr>
      </w:pPr>
    </w:p>
    <w:p w:rsidR="00D375B2" w:rsidRDefault="00D375B2" w:rsidP="00D375B2">
      <w:pPr>
        <w:spacing w:line="360" w:lineRule="auto"/>
        <w:ind w:firstLine="720"/>
        <w:jc w:val="both"/>
        <w:rPr>
          <w:sz w:val="28"/>
          <w:szCs w:val="28"/>
        </w:rPr>
      </w:pPr>
    </w:p>
    <w:p w:rsidR="00994AAF" w:rsidRDefault="00994AAF"/>
    <w:p w:rsidR="00994AAF" w:rsidRDefault="00994AAF"/>
    <w:sectPr w:rsidR="00994AAF" w:rsidSect="00176B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994AAF"/>
    <w:rsid w:val="000C6F36"/>
    <w:rsid w:val="000D5C64"/>
    <w:rsid w:val="001011D6"/>
    <w:rsid w:val="001469B9"/>
    <w:rsid w:val="00176B46"/>
    <w:rsid w:val="001915B1"/>
    <w:rsid w:val="001C7289"/>
    <w:rsid w:val="001E7BA3"/>
    <w:rsid w:val="00220FC4"/>
    <w:rsid w:val="0028031B"/>
    <w:rsid w:val="00296526"/>
    <w:rsid w:val="002B0C25"/>
    <w:rsid w:val="002B58C4"/>
    <w:rsid w:val="002C713D"/>
    <w:rsid w:val="002E0D9A"/>
    <w:rsid w:val="003039E1"/>
    <w:rsid w:val="00324F91"/>
    <w:rsid w:val="003439DB"/>
    <w:rsid w:val="00345CB3"/>
    <w:rsid w:val="00347A9A"/>
    <w:rsid w:val="003533A8"/>
    <w:rsid w:val="00372E76"/>
    <w:rsid w:val="00377F21"/>
    <w:rsid w:val="003C3AAE"/>
    <w:rsid w:val="004061AD"/>
    <w:rsid w:val="004304FE"/>
    <w:rsid w:val="00432879"/>
    <w:rsid w:val="004B46EC"/>
    <w:rsid w:val="004D6F6C"/>
    <w:rsid w:val="004F3F28"/>
    <w:rsid w:val="005222CE"/>
    <w:rsid w:val="00534EA8"/>
    <w:rsid w:val="00542BB5"/>
    <w:rsid w:val="005A62ED"/>
    <w:rsid w:val="00600B47"/>
    <w:rsid w:val="00621561"/>
    <w:rsid w:val="00624FAA"/>
    <w:rsid w:val="006323D4"/>
    <w:rsid w:val="00653DFC"/>
    <w:rsid w:val="00674E66"/>
    <w:rsid w:val="006A08DF"/>
    <w:rsid w:val="006A2801"/>
    <w:rsid w:val="006D6125"/>
    <w:rsid w:val="00742E7D"/>
    <w:rsid w:val="007F0E8B"/>
    <w:rsid w:val="007F230D"/>
    <w:rsid w:val="00802BF9"/>
    <w:rsid w:val="00824B98"/>
    <w:rsid w:val="00886E37"/>
    <w:rsid w:val="008A230C"/>
    <w:rsid w:val="008D6C9D"/>
    <w:rsid w:val="00907624"/>
    <w:rsid w:val="00941981"/>
    <w:rsid w:val="00943EC3"/>
    <w:rsid w:val="00945E9B"/>
    <w:rsid w:val="00980C3A"/>
    <w:rsid w:val="00986600"/>
    <w:rsid w:val="00994AAF"/>
    <w:rsid w:val="00A6026D"/>
    <w:rsid w:val="00A8420E"/>
    <w:rsid w:val="00B61BC8"/>
    <w:rsid w:val="00B65955"/>
    <w:rsid w:val="00B702DE"/>
    <w:rsid w:val="00B8394E"/>
    <w:rsid w:val="00BB2C99"/>
    <w:rsid w:val="00C06412"/>
    <w:rsid w:val="00C1243E"/>
    <w:rsid w:val="00C3439B"/>
    <w:rsid w:val="00C83736"/>
    <w:rsid w:val="00C9593F"/>
    <w:rsid w:val="00CF3194"/>
    <w:rsid w:val="00D375B2"/>
    <w:rsid w:val="00D774CE"/>
    <w:rsid w:val="00D87B77"/>
    <w:rsid w:val="00D955C0"/>
    <w:rsid w:val="00DA054E"/>
    <w:rsid w:val="00E04DDE"/>
    <w:rsid w:val="00E050A6"/>
    <w:rsid w:val="00E15F4A"/>
    <w:rsid w:val="00E2545D"/>
    <w:rsid w:val="00E9487A"/>
    <w:rsid w:val="00EC1345"/>
    <w:rsid w:val="00F106CF"/>
    <w:rsid w:val="00F50EB7"/>
    <w:rsid w:val="00F66C09"/>
    <w:rsid w:val="00F835B0"/>
    <w:rsid w:val="00FA2033"/>
    <w:rsid w:val="00FB3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9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9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94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83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9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9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94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9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94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83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9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9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94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Yaroshef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Yaroshefsky</dc:creator>
  <cp:lastModifiedBy>yaroshef</cp:lastModifiedBy>
  <cp:revision>2</cp:revision>
  <dcterms:created xsi:type="dcterms:W3CDTF">2015-02-02T18:46:00Z</dcterms:created>
  <dcterms:modified xsi:type="dcterms:W3CDTF">2015-02-02T18:46:00Z</dcterms:modified>
</cp:coreProperties>
</file>